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156" w:rsidRDefault="00B82742" w:rsidP="00A15B33">
      <w:pPr>
        <w:pStyle w:val="Heading1"/>
        <w:rPr>
          <w:lang w:val="en-GB"/>
        </w:rPr>
      </w:pPr>
      <w:r>
        <w:rPr>
          <w:lang w:val="en-GB"/>
        </w:rPr>
        <w:t xml:space="preserve">ATC Program Guide </w:t>
      </w:r>
      <w:r w:rsidR="00A15B33">
        <w:rPr>
          <w:lang w:val="en-GB"/>
        </w:rPr>
        <w:t xml:space="preserve">FY14 </w:t>
      </w:r>
      <w:r>
        <w:rPr>
          <w:lang w:val="en-GB"/>
        </w:rPr>
        <w:t xml:space="preserve">regional </w:t>
      </w:r>
      <w:r w:rsidR="00A15B33">
        <w:rPr>
          <w:lang w:val="en-GB"/>
        </w:rPr>
        <w:t xml:space="preserve">requirements and </w:t>
      </w:r>
      <w:r>
        <w:rPr>
          <w:lang w:val="en-GB"/>
        </w:rPr>
        <w:t>guidelines</w:t>
      </w:r>
    </w:p>
    <w:p w:rsidR="00A15B33" w:rsidRDefault="00A15B33" w:rsidP="00A15B33">
      <w:pPr>
        <w:rPr>
          <w:lang w:val="en-GB"/>
        </w:rPr>
      </w:pPr>
    </w:p>
    <w:p w:rsidR="0060425F" w:rsidRDefault="00A15B33" w:rsidP="00A15B33">
      <w:pPr>
        <w:rPr>
          <w:lang w:val="en-GB"/>
        </w:rPr>
      </w:pPr>
      <w:r>
        <w:rPr>
          <w:lang w:val="en-GB"/>
        </w:rPr>
        <w:t xml:space="preserve">The requirements and guidelines in this document refer to, and are issued in accordance with, </w:t>
      </w:r>
      <w:r w:rsidRPr="00A15B33">
        <w:rPr>
          <w:lang w:val="en-GB"/>
        </w:rPr>
        <w:t xml:space="preserve">the </w:t>
      </w:r>
      <w:r>
        <w:rPr>
          <w:lang w:val="en-GB"/>
        </w:rPr>
        <w:t>“</w:t>
      </w:r>
      <w:r w:rsidRPr="00A15B33">
        <w:rPr>
          <w:lang w:val="en-GB"/>
        </w:rPr>
        <w:t>Autodesk® Authorized Training Center Program Guide for FY 14</w:t>
      </w:r>
      <w:r>
        <w:rPr>
          <w:lang w:val="en-GB"/>
        </w:rPr>
        <w:t xml:space="preserve"> </w:t>
      </w:r>
      <w:r w:rsidRPr="00A15B33">
        <w:rPr>
          <w:lang w:val="en-GB"/>
        </w:rPr>
        <w:t>Global</w:t>
      </w:r>
      <w:r>
        <w:rPr>
          <w:lang w:val="en-GB"/>
        </w:rPr>
        <w:t xml:space="preserve">” effective 1 February 2013. </w:t>
      </w:r>
    </w:p>
    <w:p w:rsidR="00EB4552" w:rsidRDefault="00EB4552" w:rsidP="00A15B33">
      <w:pPr>
        <w:rPr>
          <w:lang w:val="en-GB"/>
        </w:rPr>
      </w:pPr>
    </w:p>
    <w:p w:rsidR="0060425F" w:rsidRDefault="0060425F" w:rsidP="0060425F">
      <w:pPr>
        <w:pStyle w:val="Heading3"/>
        <w:rPr>
          <w:lang w:val="en-GB"/>
        </w:rPr>
      </w:pPr>
      <w:r>
        <w:rPr>
          <w:lang w:val="en-GB"/>
        </w:rPr>
        <w:t>Instructions to ATC distribution partners</w:t>
      </w:r>
    </w:p>
    <w:p w:rsidR="0060425F" w:rsidRPr="0060425F" w:rsidRDefault="0060425F" w:rsidP="0060425F">
      <w:pPr>
        <w:rPr>
          <w:lang w:val="en-GB"/>
        </w:rPr>
      </w:pPr>
    </w:p>
    <w:p w:rsidR="0060425F" w:rsidRDefault="0060425F" w:rsidP="00A15B33">
      <w:pPr>
        <w:rPr>
          <w:lang w:val="en-GB"/>
        </w:rPr>
      </w:pPr>
      <w:r>
        <w:rPr>
          <w:lang w:val="en-GB"/>
        </w:rPr>
        <w:t>This document contains the approved amendments to the FY14 ATC Program Guide, which apply to the countries defined below.</w:t>
      </w:r>
    </w:p>
    <w:p w:rsidR="0060425F" w:rsidRDefault="0060425F" w:rsidP="00A15B33">
      <w:pPr>
        <w:rPr>
          <w:lang w:val="en-GB"/>
        </w:rPr>
      </w:pPr>
      <w:r>
        <w:rPr>
          <w:lang w:val="en-GB"/>
        </w:rPr>
        <w:t>These amendments</w:t>
      </w:r>
      <w:r w:rsidR="00EB4552">
        <w:rPr>
          <w:lang w:val="en-GB"/>
        </w:rPr>
        <w:t>,</w:t>
      </w:r>
      <w:r>
        <w:rPr>
          <w:lang w:val="en-GB"/>
        </w:rPr>
        <w:t xml:space="preserve"> additions </w:t>
      </w:r>
      <w:r w:rsidR="00EB4552">
        <w:rPr>
          <w:lang w:val="en-GB"/>
        </w:rPr>
        <w:t xml:space="preserve">or guidelines </w:t>
      </w:r>
      <w:r>
        <w:rPr>
          <w:lang w:val="en-GB"/>
        </w:rPr>
        <w:t>to the provisions of the ATC Program Guide</w:t>
      </w:r>
      <w:r w:rsidR="00EB4552">
        <w:rPr>
          <w:lang w:val="en-GB"/>
        </w:rPr>
        <w:t>, are</w:t>
      </w:r>
      <w:r>
        <w:rPr>
          <w:lang w:val="en-GB"/>
        </w:rPr>
        <w:t xml:space="preserve"> to be communicated to all existing ATCs prior to the start of the program year, or if this document is amended during the program year, any changes are to be communicated to all ATCs with notice as required by the ATC Agreement and ATC Program Guide.</w:t>
      </w:r>
    </w:p>
    <w:p w:rsidR="0060425F" w:rsidRDefault="00EB4552" w:rsidP="00A15B33">
      <w:pPr>
        <w:rPr>
          <w:lang w:val="en-GB"/>
        </w:rPr>
      </w:pPr>
      <w:r>
        <w:rPr>
          <w:lang w:val="en-GB"/>
        </w:rPr>
        <w:t>These amendments,</w:t>
      </w:r>
      <w:r w:rsidR="0060425F">
        <w:rPr>
          <w:lang w:val="en-GB"/>
        </w:rPr>
        <w:t xml:space="preserve"> additions</w:t>
      </w:r>
      <w:r>
        <w:rPr>
          <w:lang w:val="en-GB"/>
        </w:rPr>
        <w:t>, or guidelines</w:t>
      </w:r>
      <w:r w:rsidR="0060425F">
        <w:rPr>
          <w:lang w:val="en-GB"/>
        </w:rPr>
        <w:t xml:space="preserve"> to the provisions of the ATC Program Guide are to be communicated to all new ATCs prior to signature of the ATC Agreement.</w:t>
      </w:r>
    </w:p>
    <w:p w:rsidR="0060425F" w:rsidRDefault="0060425F" w:rsidP="00A15B33">
      <w:pPr>
        <w:rPr>
          <w:lang w:val="en-GB"/>
        </w:rPr>
      </w:pPr>
    </w:p>
    <w:p w:rsidR="00A15B33" w:rsidRDefault="00A15B33" w:rsidP="0060425F">
      <w:pPr>
        <w:pStyle w:val="Heading3"/>
        <w:rPr>
          <w:lang w:val="en-GB"/>
        </w:rPr>
      </w:pPr>
      <w:r w:rsidRPr="00A15B33">
        <w:rPr>
          <w:lang w:val="en-GB"/>
        </w:rPr>
        <w:t>Scope of applicability of this document</w:t>
      </w:r>
    </w:p>
    <w:p w:rsidR="0060425F" w:rsidRPr="0060425F" w:rsidRDefault="0060425F" w:rsidP="0060425F">
      <w:pPr>
        <w:rPr>
          <w:lang w:val="en-GB"/>
        </w:rPr>
      </w:pPr>
    </w:p>
    <w:tbl>
      <w:tblPr>
        <w:tblStyle w:val="TableGrid"/>
        <w:tblW w:w="0" w:type="auto"/>
        <w:tblLook w:val="04A0"/>
      </w:tblPr>
      <w:tblGrid>
        <w:gridCol w:w="4788"/>
        <w:gridCol w:w="4788"/>
      </w:tblGrid>
      <w:tr w:rsidR="00656D95" w:rsidTr="00B82742">
        <w:tc>
          <w:tcPr>
            <w:tcW w:w="4788" w:type="dxa"/>
          </w:tcPr>
          <w:p w:rsidR="00656D95" w:rsidRDefault="00656D95">
            <w:pPr>
              <w:rPr>
                <w:lang w:val="en-GB"/>
              </w:rPr>
            </w:pPr>
            <w:r>
              <w:rPr>
                <w:lang w:val="en-GB"/>
              </w:rPr>
              <w:t>Document version</w:t>
            </w:r>
          </w:p>
        </w:tc>
        <w:tc>
          <w:tcPr>
            <w:tcW w:w="4788" w:type="dxa"/>
          </w:tcPr>
          <w:p w:rsidR="00656D95" w:rsidRDefault="009F145F" w:rsidP="00236386">
            <w:pPr>
              <w:rPr>
                <w:lang w:val="en-GB"/>
              </w:rPr>
            </w:pPr>
            <w:r w:rsidRPr="009F145F">
              <w:rPr>
                <w:highlight w:val="yellow"/>
                <w:lang w:val="en-GB"/>
              </w:rPr>
              <w:t>1.</w:t>
            </w:r>
            <w:r w:rsidR="00B47139">
              <w:rPr>
                <w:highlight w:val="yellow"/>
                <w:lang w:val="en-GB"/>
              </w:rPr>
              <w:t>0</w:t>
            </w:r>
            <w:r w:rsidRPr="009F145F">
              <w:rPr>
                <w:highlight w:val="yellow"/>
                <w:lang w:val="en-GB"/>
              </w:rPr>
              <w:t xml:space="preserve"> draft</w:t>
            </w:r>
          </w:p>
        </w:tc>
      </w:tr>
      <w:tr w:rsidR="00B82742" w:rsidTr="00B82742">
        <w:tc>
          <w:tcPr>
            <w:tcW w:w="4788" w:type="dxa"/>
          </w:tcPr>
          <w:p w:rsidR="00B82742" w:rsidRDefault="00B82742">
            <w:pPr>
              <w:rPr>
                <w:lang w:val="en-GB"/>
              </w:rPr>
            </w:pPr>
            <w:r>
              <w:rPr>
                <w:lang w:val="en-GB"/>
              </w:rPr>
              <w:t>Geo</w:t>
            </w:r>
          </w:p>
        </w:tc>
        <w:tc>
          <w:tcPr>
            <w:tcW w:w="4788" w:type="dxa"/>
          </w:tcPr>
          <w:p w:rsidR="00B82742" w:rsidRDefault="009F145F">
            <w:pPr>
              <w:rPr>
                <w:lang w:val="en-GB"/>
              </w:rPr>
            </w:pPr>
            <w:r w:rsidRPr="009F145F">
              <w:rPr>
                <w:highlight w:val="yellow"/>
                <w:lang w:val="en-GB"/>
              </w:rPr>
              <w:t>Geo name</w:t>
            </w:r>
          </w:p>
        </w:tc>
      </w:tr>
      <w:tr w:rsidR="00B82742" w:rsidTr="00B82742">
        <w:tc>
          <w:tcPr>
            <w:tcW w:w="4788" w:type="dxa"/>
          </w:tcPr>
          <w:p w:rsidR="00B82742" w:rsidRDefault="00B82742" w:rsidP="00B82742">
            <w:pPr>
              <w:rPr>
                <w:lang w:val="en-GB"/>
              </w:rPr>
            </w:pPr>
            <w:r>
              <w:rPr>
                <w:lang w:val="en-GB"/>
              </w:rPr>
              <w:t>Region</w:t>
            </w:r>
          </w:p>
        </w:tc>
        <w:tc>
          <w:tcPr>
            <w:tcW w:w="4788" w:type="dxa"/>
          </w:tcPr>
          <w:p w:rsidR="00B82742" w:rsidRDefault="009F145F">
            <w:pPr>
              <w:rPr>
                <w:lang w:val="en-GB"/>
              </w:rPr>
            </w:pPr>
            <w:r w:rsidRPr="009F145F">
              <w:rPr>
                <w:highlight w:val="yellow"/>
                <w:lang w:val="en-GB"/>
              </w:rPr>
              <w:t>Region name</w:t>
            </w:r>
          </w:p>
        </w:tc>
      </w:tr>
      <w:tr w:rsidR="00B82742" w:rsidTr="00B82742">
        <w:tc>
          <w:tcPr>
            <w:tcW w:w="4788" w:type="dxa"/>
          </w:tcPr>
          <w:p w:rsidR="00B82742" w:rsidRDefault="00B82742">
            <w:pPr>
              <w:rPr>
                <w:lang w:val="en-GB"/>
              </w:rPr>
            </w:pPr>
            <w:r>
              <w:rPr>
                <w:lang w:val="en-GB"/>
              </w:rPr>
              <w:t>Applicable Countries</w:t>
            </w:r>
          </w:p>
        </w:tc>
        <w:tc>
          <w:tcPr>
            <w:tcW w:w="4788" w:type="dxa"/>
          </w:tcPr>
          <w:p w:rsidR="00B82742" w:rsidRDefault="009F145F">
            <w:pPr>
              <w:rPr>
                <w:lang w:val="en-GB"/>
              </w:rPr>
            </w:pPr>
            <w:r w:rsidRPr="009F145F">
              <w:rPr>
                <w:highlight w:val="yellow"/>
                <w:lang w:val="en-GB"/>
              </w:rPr>
              <w:t>Countries affected in region</w:t>
            </w:r>
            <w:r>
              <w:rPr>
                <w:lang w:val="en-GB"/>
              </w:rPr>
              <w:t xml:space="preserve"> </w:t>
            </w:r>
          </w:p>
        </w:tc>
      </w:tr>
      <w:tr w:rsidR="00B82742" w:rsidTr="00B82742">
        <w:tc>
          <w:tcPr>
            <w:tcW w:w="4788" w:type="dxa"/>
          </w:tcPr>
          <w:p w:rsidR="00B82742" w:rsidRDefault="00B82742">
            <w:pPr>
              <w:rPr>
                <w:lang w:val="en-GB"/>
              </w:rPr>
            </w:pPr>
            <w:r>
              <w:rPr>
                <w:lang w:val="en-GB"/>
              </w:rPr>
              <w:t>Applicable period</w:t>
            </w:r>
          </w:p>
        </w:tc>
        <w:tc>
          <w:tcPr>
            <w:tcW w:w="4788" w:type="dxa"/>
          </w:tcPr>
          <w:p w:rsidR="00B82742" w:rsidRPr="009F145F" w:rsidRDefault="00B82742" w:rsidP="00236386">
            <w:pPr>
              <w:rPr>
                <w:i/>
                <w:highlight w:val="yellow"/>
                <w:lang w:val="en-GB"/>
              </w:rPr>
            </w:pPr>
            <w:r w:rsidRPr="009F145F">
              <w:rPr>
                <w:i/>
                <w:highlight w:val="yellow"/>
                <w:lang w:val="en-GB"/>
              </w:rPr>
              <w:t>FY</w:t>
            </w:r>
            <w:r w:rsidR="00236386">
              <w:rPr>
                <w:i/>
                <w:highlight w:val="yellow"/>
                <w:lang w:val="en-GB"/>
              </w:rPr>
              <w:t>14</w:t>
            </w:r>
            <w:r w:rsidRPr="009F145F">
              <w:rPr>
                <w:i/>
                <w:highlight w:val="yellow"/>
                <w:lang w:val="en-GB"/>
              </w:rPr>
              <w:t xml:space="preserve"> (date – date)</w:t>
            </w:r>
          </w:p>
        </w:tc>
      </w:tr>
      <w:tr w:rsidR="00B82742" w:rsidTr="00B82742">
        <w:tc>
          <w:tcPr>
            <w:tcW w:w="4788" w:type="dxa"/>
          </w:tcPr>
          <w:p w:rsidR="00B82742" w:rsidRDefault="00B82742">
            <w:pPr>
              <w:rPr>
                <w:lang w:val="en-GB"/>
              </w:rPr>
            </w:pPr>
            <w:r>
              <w:rPr>
                <w:lang w:val="en-GB"/>
              </w:rPr>
              <w:t>Date issued</w:t>
            </w:r>
          </w:p>
        </w:tc>
        <w:tc>
          <w:tcPr>
            <w:tcW w:w="4788" w:type="dxa"/>
          </w:tcPr>
          <w:p w:rsidR="00B82742" w:rsidRPr="009F145F" w:rsidRDefault="00B82742">
            <w:pPr>
              <w:rPr>
                <w:i/>
                <w:highlight w:val="yellow"/>
                <w:lang w:val="en-GB"/>
              </w:rPr>
            </w:pPr>
            <w:r w:rsidRPr="009F145F">
              <w:rPr>
                <w:i/>
                <w:highlight w:val="yellow"/>
                <w:lang w:val="en-GB"/>
              </w:rPr>
              <w:t>date</w:t>
            </w:r>
          </w:p>
        </w:tc>
      </w:tr>
      <w:tr w:rsidR="0060425F" w:rsidTr="00B82742">
        <w:tc>
          <w:tcPr>
            <w:tcW w:w="4788" w:type="dxa"/>
          </w:tcPr>
          <w:p w:rsidR="0060425F" w:rsidRDefault="0060425F">
            <w:pPr>
              <w:rPr>
                <w:lang w:val="en-GB"/>
              </w:rPr>
            </w:pPr>
            <w:r>
              <w:rPr>
                <w:lang w:val="en-GB"/>
              </w:rPr>
              <w:t>Approved Education Market</w:t>
            </w:r>
            <w:r w:rsidR="0067523D">
              <w:rPr>
                <w:lang w:val="en-GB"/>
              </w:rPr>
              <w:t xml:space="preserve"> Manager</w:t>
            </w:r>
          </w:p>
        </w:tc>
        <w:tc>
          <w:tcPr>
            <w:tcW w:w="4788" w:type="dxa"/>
          </w:tcPr>
          <w:p w:rsidR="0060425F" w:rsidRDefault="0067523D">
            <w:pPr>
              <w:rPr>
                <w:i/>
                <w:highlight w:val="yellow"/>
                <w:lang w:val="en-GB"/>
              </w:rPr>
            </w:pPr>
            <w:r>
              <w:rPr>
                <w:i/>
                <w:highlight w:val="yellow"/>
                <w:lang w:val="en-GB"/>
              </w:rPr>
              <w:t>For Emerging markets George Abraham or Vincent Chong</w:t>
            </w:r>
          </w:p>
          <w:p w:rsidR="0067523D" w:rsidRPr="009F145F" w:rsidRDefault="0067523D">
            <w:pPr>
              <w:rPr>
                <w:i/>
                <w:highlight w:val="yellow"/>
                <w:lang w:val="en-GB"/>
              </w:rPr>
            </w:pPr>
            <w:r>
              <w:rPr>
                <w:i/>
                <w:highlight w:val="yellow"/>
                <w:lang w:val="en-GB"/>
              </w:rPr>
              <w:t>For Mature markets, Herb Bickelmann or Matt Pierce</w:t>
            </w:r>
          </w:p>
        </w:tc>
      </w:tr>
      <w:tr w:rsidR="0060425F" w:rsidTr="00B82742">
        <w:tc>
          <w:tcPr>
            <w:tcW w:w="4788" w:type="dxa"/>
          </w:tcPr>
          <w:p w:rsidR="0060425F" w:rsidRDefault="0060425F">
            <w:pPr>
              <w:rPr>
                <w:lang w:val="en-GB"/>
              </w:rPr>
            </w:pPr>
            <w:r>
              <w:rPr>
                <w:lang w:val="en-GB"/>
              </w:rPr>
              <w:t>Approved ATC Program Manager</w:t>
            </w:r>
          </w:p>
        </w:tc>
        <w:tc>
          <w:tcPr>
            <w:tcW w:w="4788" w:type="dxa"/>
          </w:tcPr>
          <w:p w:rsidR="0060425F" w:rsidRPr="009F145F" w:rsidRDefault="0067523D" w:rsidP="0067523D">
            <w:pPr>
              <w:rPr>
                <w:i/>
                <w:highlight w:val="yellow"/>
                <w:lang w:val="en-GB"/>
              </w:rPr>
            </w:pPr>
            <w:r>
              <w:rPr>
                <w:i/>
                <w:highlight w:val="yellow"/>
                <w:lang w:val="en-GB"/>
              </w:rPr>
              <w:t>Don Carlson, Norman Buckberry or Tomas Karlsson</w:t>
            </w:r>
          </w:p>
        </w:tc>
      </w:tr>
      <w:tr w:rsidR="0060425F" w:rsidTr="00B82742">
        <w:tc>
          <w:tcPr>
            <w:tcW w:w="4788" w:type="dxa"/>
          </w:tcPr>
          <w:p w:rsidR="0060425F" w:rsidRDefault="0060425F">
            <w:pPr>
              <w:rPr>
                <w:lang w:val="en-GB"/>
              </w:rPr>
            </w:pPr>
            <w:r>
              <w:rPr>
                <w:lang w:val="en-GB"/>
              </w:rPr>
              <w:t>Agreed ATC Program Distributor</w:t>
            </w:r>
          </w:p>
        </w:tc>
        <w:tc>
          <w:tcPr>
            <w:tcW w:w="4788" w:type="dxa"/>
          </w:tcPr>
          <w:p w:rsidR="0060425F" w:rsidRPr="009F145F" w:rsidRDefault="0060425F">
            <w:pPr>
              <w:rPr>
                <w:i/>
                <w:highlight w:val="yellow"/>
                <w:lang w:val="en-GB"/>
              </w:rPr>
            </w:pPr>
          </w:p>
        </w:tc>
      </w:tr>
    </w:tbl>
    <w:p w:rsidR="00B82742" w:rsidRDefault="00B82742">
      <w:pPr>
        <w:rPr>
          <w:lang w:val="en-GB"/>
        </w:rPr>
      </w:pPr>
    </w:p>
    <w:p w:rsidR="0060425F" w:rsidRDefault="0060425F">
      <w:pPr>
        <w:rPr>
          <w:lang w:val="en-GB"/>
        </w:rPr>
      </w:pPr>
    </w:p>
    <w:p w:rsidR="0060425F" w:rsidRDefault="0060425F">
      <w:pPr>
        <w:rPr>
          <w:lang w:val="en-GB"/>
        </w:rPr>
      </w:pPr>
    </w:p>
    <w:p w:rsidR="0060425F" w:rsidRDefault="0060425F">
      <w:pPr>
        <w:rPr>
          <w:lang w:val="en-GB"/>
        </w:rPr>
      </w:pPr>
    </w:p>
    <w:p w:rsidR="0060425F" w:rsidRDefault="0060425F" w:rsidP="0060425F">
      <w:pPr>
        <w:pStyle w:val="Heading2"/>
        <w:rPr>
          <w:lang w:val="en-GB"/>
        </w:rPr>
      </w:pPr>
      <w:r>
        <w:rPr>
          <w:lang w:val="en-GB"/>
        </w:rPr>
        <w:t>ATC guidelines and criteria</w:t>
      </w:r>
    </w:p>
    <w:p w:rsidR="0060425F" w:rsidRDefault="0060425F">
      <w:pPr>
        <w:rPr>
          <w:lang w:val="en-GB"/>
        </w:rPr>
      </w:pPr>
    </w:p>
    <w:p w:rsidR="0060425F" w:rsidRDefault="0060425F">
      <w:pPr>
        <w:rPr>
          <w:lang w:val="en-GB"/>
        </w:rPr>
      </w:pPr>
      <w:r>
        <w:rPr>
          <w:lang w:val="en-GB"/>
        </w:rPr>
        <w:t>Include in the list below all amendments or additions to the requirements, benefits or provisions of the ATC Program Guide</w:t>
      </w:r>
      <w:r w:rsidR="00EB4552">
        <w:rPr>
          <w:lang w:val="en-GB"/>
        </w:rPr>
        <w:t>.</w:t>
      </w:r>
    </w:p>
    <w:p w:rsidR="0060425F" w:rsidRDefault="0060425F">
      <w:pPr>
        <w:rPr>
          <w:lang w:val="en-GB"/>
        </w:rPr>
      </w:pPr>
    </w:p>
    <w:p w:rsidR="00A15B33" w:rsidRDefault="00A15B33" w:rsidP="0060425F">
      <w:pPr>
        <w:pStyle w:val="Heading3"/>
        <w:rPr>
          <w:lang w:val="en-GB"/>
        </w:rPr>
      </w:pPr>
      <w:r w:rsidRPr="00A15B33">
        <w:rPr>
          <w:lang w:val="en-GB"/>
        </w:rPr>
        <w:t>ATC Acceptance Criteria and guidelines</w:t>
      </w:r>
    </w:p>
    <w:p w:rsidR="0060425F" w:rsidRPr="0060425F" w:rsidRDefault="0060425F" w:rsidP="0060425F">
      <w:pPr>
        <w:rPr>
          <w:lang w:val="en-GB"/>
        </w:rPr>
      </w:pPr>
    </w:p>
    <w:p w:rsidR="00A15B33" w:rsidRDefault="00A15B33">
      <w:pPr>
        <w:rPr>
          <w:lang w:val="en-GB"/>
        </w:rPr>
      </w:pPr>
      <w:r>
        <w:rPr>
          <w:lang w:val="en-GB"/>
        </w:rPr>
        <w:t xml:space="preserve">The minimum number of </w:t>
      </w:r>
      <w:r w:rsidRPr="00C06DBC">
        <w:rPr>
          <w:highlight w:val="yellow"/>
          <w:lang w:val="en-GB"/>
        </w:rPr>
        <w:t xml:space="preserve">workstations per site is </w:t>
      </w:r>
      <w:r w:rsidR="00656D95" w:rsidRPr="00C06DBC">
        <w:rPr>
          <w:highlight w:val="yellow"/>
          <w:lang w:val="en-GB"/>
        </w:rPr>
        <w:t>5</w:t>
      </w:r>
    </w:p>
    <w:p w:rsidR="00A15B33" w:rsidRDefault="002A2C1B">
      <w:pPr>
        <w:rPr>
          <w:lang w:val="en-GB"/>
        </w:rPr>
      </w:pPr>
      <w:r>
        <w:rPr>
          <w:lang w:val="en-GB"/>
        </w:rPr>
        <w:t>ATCs must be approved for at least 1 of the product groups as defined in the ATC Program Guide, and must have at least 1 instructor qualified to train on at least one of the products listed in the “Core” category of that group, or for any of the products listed in the Horizontal” group.</w:t>
      </w:r>
    </w:p>
    <w:p w:rsidR="002A2C1B" w:rsidRDefault="002A2C1B">
      <w:pPr>
        <w:rPr>
          <w:lang w:val="en-GB"/>
        </w:rPr>
      </w:pPr>
    </w:p>
    <w:p w:rsidR="00656D95" w:rsidRDefault="00656D95" w:rsidP="0060425F">
      <w:pPr>
        <w:pStyle w:val="Heading3"/>
        <w:rPr>
          <w:lang w:val="en-GB"/>
        </w:rPr>
      </w:pPr>
      <w:r>
        <w:rPr>
          <w:lang w:val="en-GB"/>
        </w:rPr>
        <w:t>Software provision</w:t>
      </w:r>
    </w:p>
    <w:p w:rsidR="0060425F" w:rsidRPr="0060425F" w:rsidRDefault="0060425F" w:rsidP="0060425F">
      <w:pPr>
        <w:rPr>
          <w:lang w:val="en-GB"/>
        </w:rPr>
      </w:pPr>
    </w:p>
    <w:p w:rsidR="00656D95" w:rsidRDefault="002A2C1B">
      <w:pPr>
        <w:rPr>
          <w:lang w:val="en-GB"/>
        </w:rPr>
      </w:pPr>
      <w:r w:rsidRPr="00B47139">
        <w:rPr>
          <w:i/>
          <w:highlight w:val="yellow"/>
          <w:lang w:val="en-GB"/>
        </w:rPr>
        <w:t>(EMEA example)</w:t>
      </w:r>
      <w:r>
        <w:rPr>
          <w:lang w:val="en-GB"/>
        </w:rPr>
        <w:t xml:space="preserve"> </w:t>
      </w:r>
      <w:r w:rsidR="00656D95">
        <w:rPr>
          <w:lang w:val="en-GB"/>
        </w:rPr>
        <w:t xml:space="preserve">Each ATC Site will be entitled to install </w:t>
      </w:r>
      <w:r>
        <w:rPr>
          <w:lang w:val="en-GB"/>
        </w:rPr>
        <w:t>on each of the workstations registered above, wi</w:t>
      </w:r>
      <w:r w:rsidR="0060425F">
        <w:rPr>
          <w:lang w:val="en-GB"/>
        </w:rPr>
        <w:t>th the addition of</w:t>
      </w:r>
      <w:r>
        <w:rPr>
          <w:lang w:val="en-GB"/>
        </w:rPr>
        <w:t xml:space="preserve"> 3 further instructor or test workstations,</w:t>
      </w:r>
      <w:r w:rsidR="00656D95">
        <w:rPr>
          <w:lang w:val="en-GB"/>
        </w:rPr>
        <w:t xml:space="preserve"> </w:t>
      </w:r>
      <w:r>
        <w:rPr>
          <w:lang w:val="en-GB"/>
        </w:rPr>
        <w:t>a license</w:t>
      </w:r>
      <w:r w:rsidR="00656D95">
        <w:rPr>
          <w:lang w:val="en-GB"/>
        </w:rPr>
        <w:t xml:space="preserve"> f</w:t>
      </w:r>
      <w:r>
        <w:rPr>
          <w:lang w:val="en-GB"/>
        </w:rPr>
        <w:t>or</w:t>
      </w:r>
      <w:r w:rsidR="00656D95">
        <w:rPr>
          <w:lang w:val="en-GB"/>
        </w:rPr>
        <w:t xml:space="preserve"> each product</w:t>
      </w:r>
      <w:r>
        <w:rPr>
          <w:lang w:val="en-GB"/>
        </w:rPr>
        <w:t xml:space="preserve"> in the approved product groups (as defined in the ATC Program Guide), subject to a maximum of 25 seats per ATC Site. Further seats may be acquired subject to additional fees.</w:t>
      </w:r>
    </w:p>
    <w:p w:rsidR="00656D95" w:rsidRDefault="00656D95">
      <w:pPr>
        <w:rPr>
          <w:lang w:val="en-GB"/>
        </w:rPr>
      </w:pPr>
    </w:p>
    <w:p w:rsidR="00A15B33" w:rsidRPr="00A15B33" w:rsidRDefault="00A15B33" w:rsidP="0060425F">
      <w:pPr>
        <w:pStyle w:val="Heading3"/>
        <w:rPr>
          <w:lang w:val="en-GB"/>
        </w:rPr>
      </w:pPr>
      <w:r w:rsidRPr="00A15B33">
        <w:rPr>
          <w:lang w:val="en-GB"/>
        </w:rPr>
        <w:t>ATC Performance criteria</w:t>
      </w:r>
    </w:p>
    <w:p w:rsidR="00A15B33" w:rsidRDefault="00A15B33">
      <w:pPr>
        <w:rPr>
          <w:lang w:val="en-GB"/>
        </w:rPr>
      </w:pPr>
    </w:p>
    <w:p w:rsidR="00A15B33" w:rsidRDefault="00A15B33">
      <w:pPr>
        <w:rPr>
          <w:lang w:val="en-GB"/>
        </w:rPr>
      </w:pPr>
      <w:r>
        <w:rPr>
          <w:lang w:val="en-GB"/>
        </w:rPr>
        <w:t xml:space="preserve">The minimum annual number of students trained, as defined by the number of student surveys received in the Student Evaluation System is </w:t>
      </w:r>
      <w:r w:rsidRPr="009F145F">
        <w:rPr>
          <w:highlight w:val="yellow"/>
          <w:lang w:val="en-GB"/>
        </w:rPr>
        <w:t>5 students per agreed workstation</w:t>
      </w:r>
      <w:r w:rsidR="00656D95">
        <w:rPr>
          <w:lang w:val="en-GB"/>
        </w:rPr>
        <w:t>.</w:t>
      </w:r>
      <w:r w:rsidR="00C06DBC">
        <w:rPr>
          <w:lang w:val="en-GB"/>
        </w:rPr>
        <w:t xml:space="preserve"> (Note: for ATCs teaching only courses lasting more that 6 months, a different annual minimum may be agreed with the regional distributor.) </w:t>
      </w:r>
    </w:p>
    <w:p w:rsidR="00656D95" w:rsidRDefault="00656D95">
      <w:pPr>
        <w:rPr>
          <w:lang w:val="en-GB"/>
        </w:rPr>
      </w:pPr>
      <w:r>
        <w:rPr>
          <w:lang w:val="en-GB"/>
        </w:rPr>
        <w:t>The minimum customer satisfaction score for each site, as defined by the annual average OP% score, is 85% (to be measured on a</w:t>
      </w:r>
      <w:r w:rsidR="002A2C1B">
        <w:rPr>
          <w:lang w:val="en-GB"/>
        </w:rPr>
        <w:t>n annual basis at the end of the program year)</w:t>
      </w:r>
      <w:r>
        <w:rPr>
          <w:lang w:val="en-GB"/>
        </w:rPr>
        <w:t xml:space="preserve"> </w:t>
      </w:r>
    </w:p>
    <w:p w:rsidR="00656D95" w:rsidRDefault="00656D95">
      <w:pPr>
        <w:rPr>
          <w:lang w:val="en-GB"/>
        </w:rPr>
      </w:pPr>
    </w:p>
    <w:p w:rsidR="00A15B33" w:rsidRDefault="00A15B33">
      <w:pPr>
        <w:rPr>
          <w:lang w:val="en-GB"/>
        </w:rPr>
      </w:pPr>
    </w:p>
    <w:p w:rsidR="00A15B33" w:rsidRPr="00A15B33" w:rsidRDefault="00A15B33" w:rsidP="0060425F">
      <w:pPr>
        <w:pStyle w:val="Heading3"/>
        <w:rPr>
          <w:lang w:val="en-GB"/>
        </w:rPr>
      </w:pPr>
      <w:r w:rsidRPr="00A15B33">
        <w:rPr>
          <w:lang w:val="en-GB"/>
        </w:rPr>
        <w:lastRenderedPageBreak/>
        <w:t>ATC Instructor acceptance and qualification criteria</w:t>
      </w:r>
    </w:p>
    <w:p w:rsidR="00A15B33" w:rsidRDefault="00656D95">
      <w:pPr>
        <w:rPr>
          <w:lang w:val="en-GB"/>
        </w:rPr>
      </w:pPr>
      <w:r>
        <w:rPr>
          <w:lang w:val="en-GB"/>
        </w:rPr>
        <w:t>ATCs are required to ensure that at least 1 instructor has qualified as ACI by the end of FY14 for each product for which ACI is available.</w:t>
      </w:r>
    </w:p>
    <w:p w:rsidR="00656D95" w:rsidRDefault="00656D95">
      <w:pPr>
        <w:rPr>
          <w:lang w:val="en-GB"/>
        </w:rPr>
      </w:pPr>
      <w:r>
        <w:rPr>
          <w:lang w:val="en-GB"/>
        </w:rPr>
        <w:t>All instructors are required to pass 2013 Professional Certification for each product for which 2013 Professional Certification is available.</w:t>
      </w:r>
    </w:p>
    <w:p w:rsidR="00A15B33" w:rsidRDefault="00A15B33">
      <w:pPr>
        <w:rPr>
          <w:lang w:val="en-GB"/>
        </w:rPr>
      </w:pPr>
    </w:p>
    <w:p w:rsidR="00A15B33" w:rsidRPr="00A15B33" w:rsidRDefault="00A15B33" w:rsidP="0060425F">
      <w:pPr>
        <w:pStyle w:val="Heading3"/>
        <w:rPr>
          <w:lang w:val="en-GB"/>
        </w:rPr>
      </w:pPr>
      <w:r w:rsidRPr="00A15B33">
        <w:rPr>
          <w:lang w:val="en-GB"/>
        </w:rPr>
        <w:t>Other special criteria or guidelines</w:t>
      </w:r>
    </w:p>
    <w:p w:rsidR="00B82742" w:rsidRDefault="00B82742">
      <w:pPr>
        <w:rPr>
          <w:lang w:val="en-GB"/>
        </w:rPr>
      </w:pPr>
    </w:p>
    <w:p w:rsidR="00656D95" w:rsidRDefault="00656D95">
      <w:pPr>
        <w:rPr>
          <w:lang w:val="en-GB"/>
        </w:rPr>
      </w:pPr>
      <w:r w:rsidRPr="00B47139">
        <w:rPr>
          <w:i/>
          <w:highlight w:val="yellow"/>
          <w:lang w:val="en-GB"/>
        </w:rPr>
        <w:t>(For Emerging Markets</w:t>
      </w:r>
      <w:r w:rsidR="000057AC" w:rsidRPr="00B47139">
        <w:rPr>
          <w:i/>
          <w:highlight w:val="yellow"/>
          <w:lang w:val="en-GB"/>
        </w:rPr>
        <w:t xml:space="preserve"> only - (ENU example)</w:t>
      </w:r>
      <w:r w:rsidRPr="00B47139">
        <w:rPr>
          <w:i/>
          <w:highlight w:val="yellow"/>
          <w:lang w:val="en-GB"/>
        </w:rPr>
        <w:t>)</w:t>
      </w:r>
      <w:r>
        <w:rPr>
          <w:lang w:val="en-GB"/>
        </w:rPr>
        <w:t xml:space="preserve"> Certificates of Completion will </w:t>
      </w:r>
      <w:r w:rsidRPr="00EB4552">
        <w:rPr>
          <w:b/>
          <w:u w:val="single"/>
          <w:lang w:val="en-GB"/>
        </w:rPr>
        <w:t>not</w:t>
      </w:r>
      <w:r>
        <w:rPr>
          <w:lang w:val="en-GB"/>
        </w:rPr>
        <w:t xml:space="preserve"> be available for Authorized Courses taught on the following products</w:t>
      </w:r>
    </w:p>
    <w:p w:rsidR="00656D95" w:rsidRPr="00656D95" w:rsidRDefault="00656D95" w:rsidP="00656D95">
      <w:pPr>
        <w:pStyle w:val="ListParagraph"/>
        <w:numPr>
          <w:ilvl w:val="0"/>
          <w:numId w:val="7"/>
        </w:numPr>
        <w:rPr>
          <w:lang w:val="en-GB"/>
        </w:rPr>
      </w:pPr>
      <w:r>
        <w:rPr>
          <w:lang w:val="en-GB"/>
        </w:rPr>
        <w:t>Autodesk AutoCAD</w:t>
      </w:r>
    </w:p>
    <w:p w:rsidR="00656D95" w:rsidRDefault="00656D95" w:rsidP="00656D95">
      <w:pPr>
        <w:pStyle w:val="ListParagraph"/>
        <w:numPr>
          <w:ilvl w:val="0"/>
          <w:numId w:val="7"/>
        </w:numPr>
        <w:rPr>
          <w:lang w:val="en-GB"/>
        </w:rPr>
      </w:pPr>
      <w:r>
        <w:rPr>
          <w:lang w:val="en-GB"/>
        </w:rPr>
        <w:t>Autodesk AutoCAD Civil 3D</w:t>
      </w:r>
    </w:p>
    <w:p w:rsidR="00656D95" w:rsidRDefault="00656D95" w:rsidP="00656D95">
      <w:pPr>
        <w:pStyle w:val="ListParagraph"/>
        <w:numPr>
          <w:ilvl w:val="0"/>
          <w:numId w:val="7"/>
        </w:numPr>
        <w:rPr>
          <w:lang w:val="en-GB"/>
        </w:rPr>
      </w:pPr>
      <w:r>
        <w:rPr>
          <w:lang w:val="en-GB"/>
        </w:rPr>
        <w:t>Autodesk Inventor</w:t>
      </w:r>
    </w:p>
    <w:p w:rsidR="00656D95" w:rsidRDefault="00656D95" w:rsidP="00656D95">
      <w:pPr>
        <w:pStyle w:val="ListParagraph"/>
        <w:numPr>
          <w:ilvl w:val="0"/>
          <w:numId w:val="7"/>
        </w:numPr>
        <w:rPr>
          <w:lang w:val="en-GB"/>
        </w:rPr>
      </w:pPr>
      <w:r>
        <w:rPr>
          <w:lang w:val="en-GB"/>
        </w:rPr>
        <w:t>Autodesk Revit Architecture</w:t>
      </w:r>
    </w:p>
    <w:p w:rsidR="00656D95" w:rsidRDefault="00656D95" w:rsidP="00656D95">
      <w:pPr>
        <w:pStyle w:val="ListParagraph"/>
        <w:numPr>
          <w:ilvl w:val="0"/>
          <w:numId w:val="7"/>
        </w:numPr>
        <w:rPr>
          <w:lang w:val="en-GB"/>
        </w:rPr>
      </w:pPr>
      <w:r>
        <w:rPr>
          <w:lang w:val="en-GB"/>
        </w:rPr>
        <w:t>Autodesk 3ds Max</w:t>
      </w:r>
    </w:p>
    <w:p w:rsidR="00656D95" w:rsidRPr="00656D95" w:rsidRDefault="00656D95" w:rsidP="00656D95">
      <w:pPr>
        <w:pStyle w:val="ListParagraph"/>
        <w:numPr>
          <w:ilvl w:val="0"/>
          <w:numId w:val="7"/>
        </w:numPr>
        <w:rPr>
          <w:lang w:val="en-GB"/>
        </w:rPr>
      </w:pPr>
      <w:r>
        <w:rPr>
          <w:lang w:val="en-GB"/>
        </w:rPr>
        <w:t>Autodesk Maya</w:t>
      </w:r>
    </w:p>
    <w:p w:rsidR="00B82742" w:rsidRDefault="00656D95">
      <w:pPr>
        <w:rPr>
          <w:lang w:val="en-GB"/>
        </w:rPr>
      </w:pPr>
      <w:r>
        <w:rPr>
          <w:lang w:val="en-GB"/>
        </w:rPr>
        <w:t>ATCs are advised to ensure students pass the equivalent Autodesk Professional Certification exams in order to receive an Autodesk certificate.</w:t>
      </w:r>
    </w:p>
    <w:p w:rsidR="00B82742" w:rsidRDefault="00B82742">
      <w:pPr>
        <w:rPr>
          <w:lang w:val="en-GB"/>
        </w:rPr>
      </w:pPr>
    </w:p>
    <w:p w:rsidR="00B4460F" w:rsidRDefault="00B4460F" w:rsidP="00B4460F">
      <w:pPr>
        <w:pStyle w:val="Heading2"/>
        <w:rPr>
          <w:lang w:val="en-GB"/>
        </w:rPr>
      </w:pPr>
      <w:r>
        <w:rPr>
          <w:lang w:val="en-GB"/>
        </w:rPr>
        <w:t>ATC Leadership Council or Advisory Board</w:t>
      </w:r>
    </w:p>
    <w:p w:rsidR="00B4460F" w:rsidRPr="00B47139" w:rsidRDefault="00B4460F">
      <w:pPr>
        <w:rPr>
          <w:i/>
          <w:lang w:val="en-GB"/>
        </w:rPr>
      </w:pPr>
      <w:r w:rsidRPr="00B47139">
        <w:rPr>
          <w:i/>
          <w:highlight w:val="yellow"/>
          <w:lang w:val="en-GB"/>
        </w:rPr>
        <w:t>Description on how to participate or access the members of the council/board</w:t>
      </w:r>
      <w:r w:rsidR="00EB4552" w:rsidRPr="00B47139">
        <w:rPr>
          <w:i/>
          <w:highlight w:val="yellow"/>
          <w:lang w:val="en-GB"/>
        </w:rPr>
        <w:t xml:space="preserve"> if available</w:t>
      </w:r>
    </w:p>
    <w:p w:rsidR="00B82742" w:rsidRDefault="00B82742">
      <w:pPr>
        <w:rPr>
          <w:lang w:val="en-GB"/>
        </w:rPr>
      </w:pPr>
    </w:p>
    <w:p w:rsidR="00236386" w:rsidRDefault="00236386" w:rsidP="00236386">
      <w:pPr>
        <w:pStyle w:val="Heading2"/>
        <w:rPr>
          <w:lang w:val="en-GB"/>
        </w:rPr>
      </w:pPr>
      <w:r>
        <w:rPr>
          <w:lang w:val="en-GB"/>
        </w:rPr>
        <w:t xml:space="preserve">Academic ATC </w:t>
      </w:r>
    </w:p>
    <w:p w:rsidR="00236386" w:rsidRDefault="00236386" w:rsidP="00236386">
      <w:pPr>
        <w:rPr>
          <w:highlight w:val="yellow"/>
          <w:lang w:val="en-GB"/>
        </w:rPr>
      </w:pPr>
    </w:p>
    <w:p w:rsidR="00236386" w:rsidRPr="008F0628" w:rsidRDefault="008F0628" w:rsidP="008F0628">
      <w:pPr>
        <w:pStyle w:val="Heading3"/>
        <w:rPr>
          <w:lang w:val="en-GB"/>
        </w:rPr>
      </w:pPr>
      <w:r>
        <w:rPr>
          <w:lang w:val="en-GB"/>
        </w:rPr>
        <w:t xml:space="preserve">Academic ATC </w:t>
      </w:r>
      <w:r w:rsidR="00236386" w:rsidRPr="008F0628">
        <w:rPr>
          <w:lang w:val="en-GB"/>
        </w:rPr>
        <w:t>Program Pricing</w:t>
      </w:r>
    </w:p>
    <w:p w:rsidR="00236386" w:rsidRDefault="00236386" w:rsidP="00236386">
      <w:pPr>
        <w:rPr>
          <w:highlight w:val="yellow"/>
          <w:lang w:val="en-GB"/>
        </w:rPr>
      </w:pPr>
      <w:r>
        <w:rPr>
          <w:highlight w:val="yellow"/>
          <w:lang w:val="en-GB"/>
        </w:rPr>
        <w:t xml:space="preserve">ATCs </w:t>
      </w:r>
      <w:r w:rsidR="008F0628">
        <w:rPr>
          <w:highlight w:val="yellow"/>
          <w:lang w:val="en-GB"/>
        </w:rPr>
        <w:t>which</w:t>
      </w:r>
      <w:r>
        <w:rPr>
          <w:highlight w:val="yellow"/>
          <w:lang w:val="en-GB"/>
        </w:rPr>
        <w:t xml:space="preserve"> have paid standard ATC license fees are eligible for Academic ATC status at no additional cost</w:t>
      </w:r>
      <w:r w:rsidR="009A1517">
        <w:rPr>
          <w:highlight w:val="yellow"/>
          <w:lang w:val="en-GB"/>
        </w:rPr>
        <w:t>. For ATCs which are only applying for Academic ATC accreditation the following fees and licenses apply</w:t>
      </w:r>
    </w:p>
    <w:p w:rsidR="00236386" w:rsidRPr="00236386" w:rsidRDefault="00236386" w:rsidP="00236386">
      <w:pPr>
        <w:rPr>
          <w:i/>
          <w:lang w:val="en-GB"/>
        </w:rPr>
      </w:pPr>
      <w:r w:rsidRPr="00236386">
        <w:rPr>
          <w:i/>
          <w:highlight w:val="yellow"/>
          <w:lang w:val="en-GB"/>
        </w:rPr>
        <w:t xml:space="preserve">Select which </w:t>
      </w:r>
      <w:r w:rsidR="008F2601">
        <w:rPr>
          <w:i/>
          <w:highlight w:val="yellow"/>
          <w:lang w:val="en-GB"/>
        </w:rPr>
        <w:t xml:space="preserve">of </w:t>
      </w:r>
      <w:r w:rsidRPr="00236386">
        <w:rPr>
          <w:i/>
          <w:highlight w:val="yellow"/>
          <w:lang w:val="en-GB"/>
        </w:rPr>
        <w:t xml:space="preserve">options </w:t>
      </w:r>
      <w:r w:rsidR="008F2601">
        <w:rPr>
          <w:i/>
          <w:highlight w:val="yellow"/>
          <w:lang w:val="en-GB"/>
        </w:rPr>
        <w:t xml:space="preserve">1 or 2 below </w:t>
      </w:r>
      <w:r w:rsidRPr="00236386">
        <w:rPr>
          <w:i/>
          <w:highlight w:val="yellow"/>
          <w:lang w:val="en-GB"/>
        </w:rPr>
        <w:t>are available</w:t>
      </w:r>
    </w:p>
    <w:p w:rsidR="00236386" w:rsidRPr="00236386" w:rsidRDefault="00236386" w:rsidP="00236386">
      <w:pPr>
        <w:rPr>
          <w:i/>
          <w:lang w:val="en-GB"/>
        </w:rPr>
      </w:pPr>
      <w:r w:rsidRPr="00236386">
        <w:rPr>
          <w:i/>
          <w:highlight w:val="yellow"/>
          <w:lang w:val="en-GB"/>
        </w:rPr>
        <w:t>Option 1</w:t>
      </w:r>
    </w:p>
    <w:p w:rsidR="00236386" w:rsidRDefault="00236386" w:rsidP="00236386">
      <w:pPr>
        <w:rPr>
          <w:lang w:val="en-GB"/>
        </w:rPr>
      </w:pPr>
      <w:r>
        <w:rPr>
          <w:lang w:val="en-GB"/>
        </w:rPr>
        <w:t>Academic ATC status is available at no cost. No software licenses are supplied.</w:t>
      </w:r>
    </w:p>
    <w:p w:rsidR="00236386" w:rsidRPr="00236386" w:rsidRDefault="00236386" w:rsidP="00236386">
      <w:pPr>
        <w:rPr>
          <w:i/>
          <w:lang w:val="en-GB"/>
        </w:rPr>
      </w:pPr>
      <w:r w:rsidRPr="00236386">
        <w:rPr>
          <w:i/>
          <w:highlight w:val="yellow"/>
          <w:lang w:val="en-GB"/>
        </w:rPr>
        <w:t>Option 2</w:t>
      </w:r>
    </w:p>
    <w:p w:rsidR="00236386" w:rsidRDefault="00236386" w:rsidP="00236386">
      <w:pPr>
        <w:rPr>
          <w:lang w:val="en-GB"/>
        </w:rPr>
      </w:pPr>
      <w:r>
        <w:rPr>
          <w:lang w:val="en-GB"/>
        </w:rPr>
        <w:lastRenderedPageBreak/>
        <w:t xml:space="preserve">Academic ATC status is available at a cost of </w:t>
      </w:r>
      <w:r w:rsidRPr="00236386">
        <w:rPr>
          <w:highlight w:val="yellow"/>
          <w:lang w:val="en-GB"/>
        </w:rPr>
        <w:t>$xxx</w:t>
      </w:r>
      <w:r>
        <w:rPr>
          <w:lang w:val="en-GB"/>
        </w:rPr>
        <w:t xml:space="preserve"> per annum. </w:t>
      </w:r>
      <w:r w:rsidR="005C6511" w:rsidRPr="009A1517">
        <w:rPr>
          <w:highlight w:val="yellow"/>
          <w:lang w:val="en-GB"/>
        </w:rPr>
        <w:t>3</w:t>
      </w:r>
      <w:r>
        <w:rPr>
          <w:lang w:val="en-GB"/>
        </w:rPr>
        <w:t xml:space="preserve"> software licenses </w:t>
      </w:r>
      <w:r w:rsidR="00100949">
        <w:rPr>
          <w:lang w:val="en-GB"/>
        </w:rPr>
        <w:t xml:space="preserve">of authorised products </w:t>
      </w:r>
      <w:r>
        <w:rPr>
          <w:lang w:val="en-GB"/>
        </w:rPr>
        <w:t>are supplied</w:t>
      </w:r>
      <w:r w:rsidR="008F0628">
        <w:rPr>
          <w:lang w:val="en-GB"/>
        </w:rPr>
        <w:t xml:space="preserve"> only for use by instructors or materials developers</w:t>
      </w:r>
      <w:r>
        <w:rPr>
          <w:lang w:val="en-GB"/>
        </w:rPr>
        <w:t>.</w:t>
      </w:r>
    </w:p>
    <w:p w:rsidR="009A1517" w:rsidRDefault="009A1517" w:rsidP="00236386">
      <w:pPr>
        <w:rPr>
          <w:lang w:val="en-GB"/>
        </w:rPr>
      </w:pPr>
    </w:p>
    <w:p w:rsidR="00236386" w:rsidRDefault="008F0628" w:rsidP="008F0628">
      <w:pPr>
        <w:pStyle w:val="Heading3"/>
        <w:rPr>
          <w:lang w:val="en-GB"/>
        </w:rPr>
      </w:pPr>
      <w:r>
        <w:rPr>
          <w:lang w:val="en-GB"/>
        </w:rPr>
        <w:t>Application and acceptance Guidelines</w:t>
      </w:r>
    </w:p>
    <w:p w:rsidR="008F0628" w:rsidRPr="00B47139" w:rsidRDefault="008F0628" w:rsidP="00236386">
      <w:pPr>
        <w:rPr>
          <w:i/>
          <w:lang w:val="en-GB"/>
        </w:rPr>
      </w:pPr>
      <w:r w:rsidRPr="00B47139">
        <w:rPr>
          <w:i/>
          <w:highlight w:val="yellow"/>
          <w:lang w:val="en-GB"/>
        </w:rPr>
        <w:t>List here any specific application criteria or guidelines for acceptance</w:t>
      </w:r>
    </w:p>
    <w:p w:rsidR="008F0628" w:rsidRDefault="008F0628" w:rsidP="00236386">
      <w:pPr>
        <w:rPr>
          <w:lang w:val="en-GB"/>
        </w:rPr>
      </w:pPr>
    </w:p>
    <w:p w:rsidR="008F0628" w:rsidRPr="00A15B33" w:rsidRDefault="008F0628" w:rsidP="008F0628">
      <w:pPr>
        <w:pStyle w:val="Heading3"/>
        <w:rPr>
          <w:lang w:val="en-GB"/>
        </w:rPr>
      </w:pPr>
      <w:r>
        <w:rPr>
          <w:lang w:val="en-GB"/>
        </w:rPr>
        <w:t xml:space="preserve">Academic </w:t>
      </w:r>
      <w:r w:rsidRPr="00A15B33">
        <w:rPr>
          <w:lang w:val="en-GB"/>
        </w:rPr>
        <w:t>ATC Performance criteria</w:t>
      </w:r>
    </w:p>
    <w:p w:rsidR="008F0628" w:rsidRDefault="008F0628" w:rsidP="008F0628">
      <w:pPr>
        <w:rPr>
          <w:lang w:val="en-GB"/>
        </w:rPr>
      </w:pPr>
    </w:p>
    <w:p w:rsidR="008F0628" w:rsidRDefault="008F0628" w:rsidP="008F0628">
      <w:pPr>
        <w:rPr>
          <w:lang w:val="en-GB"/>
        </w:rPr>
      </w:pPr>
      <w:r>
        <w:rPr>
          <w:lang w:val="en-GB"/>
        </w:rPr>
        <w:t xml:space="preserve">The minimum annual number of students trained or participating in a project, as defined by the number of student surveys received in the Student Evaluation System is </w:t>
      </w:r>
      <w:r w:rsidRPr="008F0628">
        <w:rPr>
          <w:highlight w:val="yellow"/>
          <w:lang w:val="en-GB"/>
        </w:rPr>
        <w:t xml:space="preserve">100 </w:t>
      </w:r>
      <w:r w:rsidRPr="009F145F">
        <w:rPr>
          <w:highlight w:val="yellow"/>
          <w:lang w:val="en-GB"/>
        </w:rPr>
        <w:t xml:space="preserve">students </w:t>
      </w:r>
      <w:r w:rsidRPr="008F0628">
        <w:rPr>
          <w:lang w:val="en-GB"/>
        </w:rPr>
        <w:t xml:space="preserve">per </w:t>
      </w:r>
      <w:r>
        <w:rPr>
          <w:lang w:val="en-GB"/>
        </w:rPr>
        <w:t xml:space="preserve">annum. (Note: for ATCs teaching only courses lasting more that 6 months, a different annual minimum may be agreed with the regional distributor.) </w:t>
      </w:r>
    </w:p>
    <w:p w:rsidR="008F0628" w:rsidRDefault="008F0628" w:rsidP="008F0628">
      <w:pPr>
        <w:rPr>
          <w:lang w:val="en-GB"/>
        </w:rPr>
      </w:pPr>
      <w:r>
        <w:rPr>
          <w:lang w:val="en-GB"/>
        </w:rPr>
        <w:t xml:space="preserve">The minimum customer satisfaction score for each site, as defined by the annual average OP% score, is 85% (to be measured on an annual basis at the end of the program year) </w:t>
      </w:r>
    </w:p>
    <w:p w:rsidR="00B47139" w:rsidRDefault="00B47139" w:rsidP="008F0628">
      <w:pPr>
        <w:rPr>
          <w:lang w:val="en-GB"/>
        </w:rPr>
      </w:pPr>
      <w:r>
        <w:rPr>
          <w:lang w:val="en-GB"/>
        </w:rPr>
        <w:t xml:space="preserve">The minimum number of students or educators passing a professional certification exam is </w:t>
      </w:r>
      <w:r w:rsidRPr="00B47139">
        <w:rPr>
          <w:highlight w:val="yellow"/>
          <w:lang w:val="en-GB"/>
        </w:rPr>
        <w:t>50 per annum</w:t>
      </w:r>
    </w:p>
    <w:p w:rsidR="008F0628" w:rsidRDefault="008F0628" w:rsidP="00236386">
      <w:pPr>
        <w:rPr>
          <w:lang w:val="en-GB"/>
        </w:rPr>
      </w:pPr>
      <w:r>
        <w:rPr>
          <w:lang w:val="en-GB"/>
        </w:rPr>
        <w:t xml:space="preserve">The minimum number of institutions for which a signed agreement, </w:t>
      </w:r>
      <w:proofErr w:type="spellStart"/>
      <w:r>
        <w:rPr>
          <w:lang w:val="en-GB"/>
        </w:rPr>
        <w:t>MoU</w:t>
      </w:r>
      <w:proofErr w:type="spellEnd"/>
      <w:r>
        <w:rPr>
          <w:lang w:val="en-GB"/>
        </w:rPr>
        <w:t xml:space="preserve"> or other contractual relationship is in place is </w:t>
      </w:r>
      <w:r w:rsidRPr="008F0628">
        <w:rPr>
          <w:highlight w:val="yellow"/>
          <w:lang w:val="en-GB"/>
        </w:rPr>
        <w:t>10 agreements</w:t>
      </w:r>
    </w:p>
    <w:p w:rsidR="00B47139" w:rsidRPr="00B47139" w:rsidRDefault="00B47139" w:rsidP="00B47139">
      <w:pPr>
        <w:rPr>
          <w:i/>
          <w:lang w:val="en-GB"/>
        </w:rPr>
      </w:pPr>
      <w:r w:rsidRPr="00B47139">
        <w:rPr>
          <w:i/>
          <w:highlight w:val="yellow"/>
          <w:lang w:val="en-GB"/>
        </w:rPr>
        <w:t>List here any specific additional performance requirements</w:t>
      </w:r>
    </w:p>
    <w:p w:rsidR="00236386" w:rsidRDefault="00236386" w:rsidP="00236386">
      <w:pPr>
        <w:rPr>
          <w:lang w:val="en-GB"/>
        </w:rPr>
      </w:pPr>
    </w:p>
    <w:p w:rsidR="00B47139" w:rsidRDefault="00B47139" w:rsidP="00B47139">
      <w:pPr>
        <w:pStyle w:val="Heading3"/>
        <w:rPr>
          <w:lang w:val="en-GB"/>
        </w:rPr>
      </w:pPr>
      <w:r w:rsidRPr="00B47139">
        <w:rPr>
          <w:lang w:val="en-GB"/>
        </w:rPr>
        <w:t>Academic ATC Performance reports</w:t>
      </w:r>
    </w:p>
    <w:p w:rsidR="00B47139" w:rsidRPr="00B47139" w:rsidRDefault="00B47139" w:rsidP="00B47139">
      <w:pPr>
        <w:rPr>
          <w:i/>
          <w:lang w:val="en-GB"/>
        </w:rPr>
      </w:pPr>
      <w:r w:rsidRPr="00B47139">
        <w:rPr>
          <w:i/>
          <w:highlight w:val="yellow"/>
          <w:lang w:val="en-GB"/>
        </w:rPr>
        <w:t>List here any specific additional performance reporting</w:t>
      </w:r>
    </w:p>
    <w:p w:rsidR="00B47139" w:rsidRDefault="00B47139" w:rsidP="00236386">
      <w:pPr>
        <w:rPr>
          <w:lang w:val="en-GB"/>
        </w:rPr>
      </w:pPr>
    </w:p>
    <w:p w:rsidR="00236386" w:rsidRDefault="00236386" w:rsidP="00236386">
      <w:pPr>
        <w:rPr>
          <w:lang w:val="en-GB"/>
        </w:rPr>
      </w:pPr>
    </w:p>
    <w:p w:rsidR="00B82742" w:rsidRPr="00B82742" w:rsidRDefault="00B82742">
      <w:pPr>
        <w:rPr>
          <w:lang w:val="en-GB"/>
        </w:rPr>
      </w:pPr>
    </w:p>
    <w:sectPr w:rsidR="00B82742" w:rsidRPr="00B82742" w:rsidSect="0043515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0795F"/>
    <w:multiLevelType w:val="hybridMultilevel"/>
    <w:tmpl w:val="4C4452DA"/>
    <w:lvl w:ilvl="0" w:tplc="D646DA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294C1D"/>
    <w:multiLevelType w:val="hybridMultilevel"/>
    <w:tmpl w:val="7144C37E"/>
    <w:lvl w:ilvl="0" w:tplc="B3F89D50">
      <w:start w:val="1"/>
      <w:numFmt w:val="bullet"/>
      <w:lvlText w:val=""/>
      <w:lvlJc w:val="left"/>
      <w:pPr>
        <w:tabs>
          <w:tab w:val="num" w:pos="720"/>
        </w:tabs>
        <w:ind w:left="720" w:hanging="360"/>
      </w:pPr>
      <w:rPr>
        <w:rFonts w:ascii="Wingdings" w:hAnsi="Wingdings" w:hint="default"/>
      </w:rPr>
    </w:lvl>
    <w:lvl w:ilvl="1" w:tplc="717AF6A2">
      <w:start w:val="993"/>
      <w:numFmt w:val="bullet"/>
      <w:lvlText w:val=""/>
      <w:lvlJc w:val="left"/>
      <w:pPr>
        <w:tabs>
          <w:tab w:val="num" w:pos="1440"/>
        </w:tabs>
        <w:ind w:left="1440" w:hanging="360"/>
      </w:pPr>
      <w:rPr>
        <w:rFonts w:ascii="Wingdings" w:hAnsi="Wingdings" w:hint="default"/>
      </w:rPr>
    </w:lvl>
    <w:lvl w:ilvl="2" w:tplc="70828FEC">
      <w:start w:val="1"/>
      <w:numFmt w:val="bullet"/>
      <w:lvlText w:val=""/>
      <w:lvlJc w:val="left"/>
      <w:pPr>
        <w:tabs>
          <w:tab w:val="num" w:pos="2160"/>
        </w:tabs>
        <w:ind w:left="2160" w:hanging="360"/>
      </w:pPr>
      <w:rPr>
        <w:rFonts w:ascii="Wingdings" w:hAnsi="Wingdings" w:hint="default"/>
      </w:rPr>
    </w:lvl>
    <w:lvl w:ilvl="3" w:tplc="D700C220" w:tentative="1">
      <w:start w:val="1"/>
      <w:numFmt w:val="bullet"/>
      <w:lvlText w:val=""/>
      <w:lvlJc w:val="left"/>
      <w:pPr>
        <w:tabs>
          <w:tab w:val="num" w:pos="2880"/>
        </w:tabs>
        <w:ind w:left="2880" w:hanging="360"/>
      </w:pPr>
      <w:rPr>
        <w:rFonts w:ascii="Wingdings" w:hAnsi="Wingdings" w:hint="default"/>
      </w:rPr>
    </w:lvl>
    <w:lvl w:ilvl="4" w:tplc="028ADFEA" w:tentative="1">
      <w:start w:val="1"/>
      <w:numFmt w:val="bullet"/>
      <w:lvlText w:val=""/>
      <w:lvlJc w:val="left"/>
      <w:pPr>
        <w:tabs>
          <w:tab w:val="num" w:pos="3600"/>
        </w:tabs>
        <w:ind w:left="3600" w:hanging="360"/>
      </w:pPr>
      <w:rPr>
        <w:rFonts w:ascii="Wingdings" w:hAnsi="Wingdings" w:hint="default"/>
      </w:rPr>
    </w:lvl>
    <w:lvl w:ilvl="5" w:tplc="9F46A6D0" w:tentative="1">
      <w:start w:val="1"/>
      <w:numFmt w:val="bullet"/>
      <w:lvlText w:val=""/>
      <w:lvlJc w:val="left"/>
      <w:pPr>
        <w:tabs>
          <w:tab w:val="num" w:pos="4320"/>
        </w:tabs>
        <w:ind w:left="4320" w:hanging="360"/>
      </w:pPr>
      <w:rPr>
        <w:rFonts w:ascii="Wingdings" w:hAnsi="Wingdings" w:hint="default"/>
      </w:rPr>
    </w:lvl>
    <w:lvl w:ilvl="6" w:tplc="FC280CAA" w:tentative="1">
      <w:start w:val="1"/>
      <w:numFmt w:val="bullet"/>
      <w:lvlText w:val=""/>
      <w:lvlJc w:val="left"/>
      <w:pPr>
        <w:tabs>
          <w:tab w:val="num" w:pos="5040"/>
        </w:tabs>
        <w:ind w:left="5040" w:hanging="360"/>
      </w:pPr>
      <w:rPr>
        <w:rFonts w:ascii="Wingdings" w:hAnsi="Wingdings" w:hint="default"/>
      </w:rPr>
    </w:lvl>
    <w:lvl w:ilvl="7" w:tplc="10421A3C" w:tentative="1">
      <w:start w:val="1"/>
      <w:numFmt w:val="bullet"/>
      <w:lvlText w:val=""/>
      <w:lvlJc w:val="left"/>
      <w:pPr>
        <w:tabs>
          <w:tab w:val="num" w:pos="5760"/>
        </w:tabs>
        <w:ind w:left="5760" w:hanging="360"/>
      </w:pPr>
      <w:rPr>
        <w:rFonts w:ascii="Wingdings" w:hAnsi="Wingdings" w:hint="default"/>
      </w:rPr>
    </w:lvl>
    <w:lvl w:ilvl="8" w:tplc="E2D0083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82742"/>
    <w:rsid w:val="000057AC"/>
    <w:rsid w:val="000B1825"/>
    <w:rsid w:val="00100949"/>
    <w:rsid w:val="00166840"/>
    <w:rsid w:val="00236386"/>
    <w:rsid w:val="0027168C"/>
    <w:rsid w:val="002A2C1B"/>
    <w:rsid w:val="002C1206"/>
    <w:rsid w:val="002C48B9"/>
    <w:rsid w:val="003D7138"/>
    <w:rsid w:val="00435156"/>
    <w:rsid w:val="004842B7"/>
    <w:rsid w:val="005C6511"/>
    <w:rsid w:val="005E3E38"/>
    <w:rsid w:val="0060425F"/>
    <w:rsid w:val="00621121"/>
    <w:rsid w:val="00656D95"/>
    <w:rsid w:val="00661545"/>
    <w:rsid w:val="00670662"/>
    <w:rsid w:val="0067523D"/>
    <w:rsid w:val="007E0471"/>
    <w:rsid w:val="00810609"/>
    <w:rsid w:val="008F0628"/>
    <w:rsid w:val="008F2601"/>
    <w:rsid w:val="009A1517"/>
    <w:rsid w:val="009D01D2"/>
    <w:rsid w:val="009D759C"/>
    <w:rsid w:val="009F145F"/>
    <w:rsid w:val="00A15B33"/>
    <w:rsid w:val="00A503C7"/>
    <w:rsid w:val="00B25135"/>
    <w:rsid w:val="00B42E19"/>
    <w:rsid w:val="00B4460F"/>
    <w:rsid w:val="00B47139"/>
    <w:rsid w:val="00B82742"/>
    <w:rsid w:val="00C06DBC"/>
    <w:rsid w:val="00D5195B"/>
    <w:rsid w:val="00DF464C"/>
    <w:rsid w:val="00E04D96"/>
    <w:rsid w:val="00E70AB8"/>
    <w:rsid w:val="00E9336A"/>
    <w:rsid w:val="00EB4552"/>
    <w:rsid w:val="00F43F2D"/>
    <w:rsid w:val="00F63B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68C"/>
  </w:style>
  <w:style w:type="paragraph" w:styleId="Heading1">
    <w:name w:val="heading 1"/>
    <w:basedOn w:val="Normal"/>
    <w:next w:val="Normal"/>
    <w:link w:val="Heading1Char"/>
    <w:uiPriority w:val="9"/>
    <w:qFormat/>
    <w:rsid w:val="002716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16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42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6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168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2716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168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7168C"/>
    <w:rPr>
      <w:rFonts w:asciiTheme="majorHAnsi" w:eastAsiaTheme="majorEastAsia" w:hAnsiTheme="majorHAnsi" w:cstheme="majorBidi"/>
      <w:i/>
      <w:iCs/>
      <w:color w:val="4F81BD" w:themeColor="accent1"/>
      <w:spacing w:val="15"/>
      <w:sz w:val="24"/>
      <w:szCs w:val="24"/>
      <w:lang w:val="en-CA"/>
    </w:rPr>
  </w:style>
  <w:style w:type="character" w:customStyle="1" w:styleId="SubtitleChar">
    <w:name w:val="Subtitle Char"/>
    <w:basedOn w:val="DefaultParagraphFont"/>
    <w:link w:val="Subtitle"/>
    <w:uiPriority w:val="11"/>
    <w:rsid w:val="0027168C"/>
    <w:rPr>
      <w:rFonts w:asciiTheme="majorHAnsi" w:eastAsiaTheme="majorEastAsia" w:hAnsiTheme="majorHAnsi" w:cstheme="majorBidi"/>
      <w:i/>
      <w:iCs/>
      <w:color w:val="4F81BD" w:themeColor="accent1"/>
      <w:spacing w:val="15"/>
      <w:sz w:val="24"/>
      <w:szCs w:val="24"/>
      <w:lang w:val="en-CA"/>
    </w:rPr>
  </w:style>
  <w:style w:type="paragraph" w:styleId="ListParagraph">
    <w:name w:val="List Paragraph"/>
    <w:basedOn w:val="Normal"/>
    <w:uiPriority w:val="34"/>
    <w:qFormat/>
    <w:rsid w:val="0027168C"/>
    <w:pPr>
      <w:contextualSpacing/>
    </w:pPr>
  </w:style>
  <w:style w:type="table" w:styleId="TableGrid">
    <w:name w:val="Table Grid"/>
    <w:basedOn w:val="TableNormal"/>
    <w:uiPriority w:val="59"/>
    <w:rsid w:val="00B82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60425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Autodesk, Inc.</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Buckberry</dc:creator>
  <cp:lastModifiedBy>Norman Buckberry</cp:lastModifiedBy>
  <cp:revision>10</cp:revision>
  <dcterms:created xsi:type="dcterms:W3CDTF">2012-10-15T12:48:00Z</dcterms:created>
  <dcterms:modified xsi:type="dcterms:W3CDTF">2012-12-04T11:01:00Z</dcterms:modified>
</cp:coreProperties>
</file>